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ПАМЯТКА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муниципальному служащему</w:t>
      </w:r>
      <w:r w:rsidR="007A5679">
        <w:rPr>
          <w:rStyle w:val="a3"/>
          <w:rFonts w:ascii="Liberation Serif" w:hAnsi="Liberation Serif" w:cs="Tahoma"/>
          <w:color w:val="FF0000"/>
          <w:sz w:val="32"/>
          <w:szCs w:val="32"/>
        </w:rPr>
        <w:t xml:space="preserve"> городского округа Красноуфимск</w:t>
      </w: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,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3"/>
          <w:rFonts w:ascii="Liberation Serif" w:hAnsi="Liberation Serif" w:cs="Tahoma"/>
          <w:color w:val="FF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планирующему увольнение с муниципальной службы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В соответствии с пунктом 10 части 1 статьи 12 Федерального закона от 02 марта 2007 года № 25-ФЗ «О муниципальной службе в Российской Федерации» (далее – Федеральный закон № 25-ФЗ) муниципальный служащий обязан соблюдать ограничения, выполнять обязательства, не нарушать запреты, которые установлены указанным Федеральным законом № 25-ФЗ и другими федеральными законами.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0070C0"/>
          <w:sz w:val="32"/>
          <w:szCs w:val="32"/>
        </w:rPr>
        <w:t>I. Ограничения, налагаемые на гражданина, замещавшего должность муниципальной службы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b/>
          <w:bCs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 xml:space="preserve">Статьей 14 Федерального закона № 25-ФЗ установлено, что гражданин после увольнения с муниципальной службы </w:t>
      </w:r>
      <w:r w:rsidRPr="00C01313">
        <w:rPr>
          <w:rFonts w:ascii="Liberation Serif" w:hAnsi="Liberation Serif" w:cs="Tahoma"/>
          <w:b/>
          <w:bCs/>
          <w:color w:val="000000"/>
          <w:sz w:val="32"/>
          <w:szCs w:val="32"/>
        </w:rPr>
        <w:t>не вправе: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1) в случае замещения должности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 </w:t>
      </w:r>
      <w:r w:rsidRPr="00C01313">
        <w:rPr>
          <w:rStyle w:val="a4"/>
          <w:rFonts w:ascii="Liberation Serif" w:hAnsi="Liberation Serif" w:cs="Tahoma"/>
          <w:b/>
          <w:bCs/>
          <w:color w:val="000000"/>
          <w:sz w:val="32"/>
          <w:szCs w:val="32"/>
        </w:rPr>
        <w:t>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</w:t>
      </w:r>
      <w:r w:rsidRPr="00C01313">
        <w:rPr>
          <w:rStyle w:val="a4"/>
          <w:rFonts w:ascii="Liberation Serif" w:hAnsi="Liberation Serif" w:cs="Tahoma"/>
          <w:color w:val="000000"/>
          <w:sz w:val="32"/>
          <w:szCs w:val="32"/>
        </w:rPr>
        <w:t>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 xml:space="preserve">Федеральным законом от 25 декабря 2008 г. № 273-ФЗ «О противодействии коррупции» (далее – Федеральный закон № 273-ФЗ) установлены ограничения, налагаемые на гражданина, 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lastRenderedPageBreak/>
        <w:t>замещавшего должность муниципальной службы, при заключении им трудового или гражданско-правового договора: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Гражданин, замещавший должность муниципальной службы, включенную в </w:t>
      </w:r>
      <w:hyperlink r:id="rId5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перечень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 xml:space="preserve">, установленный </w:t>
      </w:r>
      <w:r w:rsidR="007A5679">
        <w:rPr>
          <w:rFonts w:ascii="Liberation Serif" w:hAnsi="Liberation Serif" w:cs="Tahoma"/>
          <w:color w:val="000000"/>
          <w:sz w:val="32"/>
          <w:szCs w:val="32"/>
        </w:rPr>
        <w:t xml:space="preserve">постановлением Главы городского округа Красноуфимск от </w:t>
      </w:r>
      <w:r w:rsidR="007A5679" w:rsidRPr="007A5679">
        <w:rPr>
          <w:rFonts w:ascii="Liberation Serif" w:hAnsi="Liberation Serif"/>
          <w:iCs/>
          <w:sz w:val="28"/>
          <w:szCs w:val="28"/>
        </w:rPr>
        <w:t xml:space="preserve">20.10.2017 г. </w:t>
      </w:r>
      <w:r w:rsidR="007A5679" w:rsidRPr="007A5679">
        <w:rPr>
          <w:rFonts w:ascii="Liberation Serif" w:hAnsi="Liberation Serif"/>
          <w:iCs/>
          <w:sz w:val="28"/>
          <w:szCs w:val="28"/>
        </w:rPr>
        <w:t>№</w:t>
      </w:r>
      <w:r w:rsidR="007A5679" w:rsidRPr="007A5679">
        <w:rPr>
          <w:rFonts w:ascii="Liberation Serif" w:hAnsi="Liberation Serif"/>
          <w:iCs/>
          <w:sz w:val="28"/>
          <w:szCs w:val="28"/>
        </w:rPr>
        <w:t xml:space="preserve"> 1038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, </w:t>
      </w:r>
      <w:r w:rsidRPr="00C01313">
        <w:rPr>
          <w:rStyle w:val="a3"/>
          <w:rFonts w:ascii="Liberation Serif" w:hAnsi="Liberation Serif" w:cs="Tahoma"/>
          <w:color w:val="0070C0"/>
          <w:sz w:val="32"/>
          <w:szCs w:val="32"/>
        </w:rPr>
        <w:t>в течение двух лет после увольнения с муниципальной службы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 </w:t>
      </w: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Комиссия </w:t>
      </w:r>
      <w:r w:rsidRPr="00C01313">
        <w:rPr>
          <w:rFonts w:ascii="Liberation Serif" w:hAnsi="Liberation Serif" w:cs="Tahoma"/>
          <w:color w:val="0070C0"/>
          <w:sz w:val="32"/>
          <w:szCs w:val="32"/>
        </w:rPr>
        <w:t>обязана рассмотреть 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 </w:t>
      </w: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в течение семи дней со дня поступления указанного обращения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0070C0"/>
          <w:sz w:val="32"/>
          <w:szCs w:val="32"/>
        </w:rPr>
        <w:t>II. Ответственность за несоблюдение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0070C0"/>
          <w:sz w:val="32"/>
          <w:szCs w:val="32"/>
        </w:rPr>
        <w:t>предусмотренных ограничений и запретов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В соответствии со ст. 13 Федерального закона № 273-ФЗ 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b/>
          <w:bCs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Федеральным законом № 273-ФЗ установлено, что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несоблюдение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 xml:space="preserve"> гражданином, замещавшим должности муниципальной службы, перечень которых устанавливается 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lastRenderedPageBreak/>
        <w:t>нормативными правовыми актами Российской Федерации, после увольнения с муниципальной службы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требования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, предусмотренного </w:t>
      </w:r>
      <w:hyperlink r:id="rId6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частью2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 xml:space="preserve">  статьи 12,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влечет  прекращение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трудового или гражданско-правового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договора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на выполнение работ (оказание услуг), указанного в </w:t>
      </w:r>
      <w:hyperlink r:id="rId7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части 1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 статьи 12, заключенного с указанным гражданином.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</w:p>
    <w:p w:rsid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b/>
          <w:bCs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Работодатель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при заключении трудового или гражданско-правового договора на выполнение работ (оказание услуг), указанного в </w:t>
      </w:r>
      <w:hyperlink r:id="rId8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части 1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 статьи 12 Федерального закона № 273-ФЗ, с гражданином, замещавшим должности муниципальной службы, </w:t>
      </w:r>
      <w:hyperlink r:id="rId9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перечень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 которых устанавливается нормативными правовыми актами Российской Федерации, в течение двух лет после его увольнения с муниципальной службы </w:t>
      </w: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 xml:space="preserve">обязан в десятидневный срок 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сообщать о заключении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такого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договора представителю нанимателя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(работодателю)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муниципального служащего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по последнему месту его службы в </w:t>
      </w:r>
      <w:hyperlink r:id="rId10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порядке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, устанавливаемом нормативными правовыми актами Российской Федерации.</w:t>
      </w:r>
    </w:p>
    <w:p w:rsidR="007A5679" w:rsidRPr="007A5679" w:rsidRDefault="007A5679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b/>
          <w:bCs/>
          <w:color w:val="000000"/>
          <w:sz w:val="32"/>
          <w:szCs w:val="32"/>
        </w:rPr>
      </w:pP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Style w:val="a3"/>
          <w:rFonts w:ascii="Liberation Serif" w:hAnsi="Liberation Serif" w:cs="Tahoma"/>
          <w:color w:val="0070C0"/>
          <w:sz w:val="32"/>
          <w:szCs w:val="32"/>
        </w:rPr>
        <w:t>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фамилия, имя, отчество (при наличии) гражданина (в случае, если фамилия, имя или отчество изменялись, указываются прежние);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число, месяц, год и место рождения гражданина (страна, республика, край, область, населенный пункт);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должность муниципальной службы, замещаемая гражданином непосредственно перед увольнением с муниципальной службы (по сведениям, содержащимся в трудовой книжке);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наименование организации (полное, а также сокращенное (при его наличии);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дата и номер приказа (распоряжения) или иного решения работодателя, согласно которому гражданин принят на работу;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lastRenderedPageBreak/>
        <w:t>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</w:p>
    <w:p w:rsidR="00C01313" w:rsidRPr="00C01313" w:rsidRDefault="00C01313" w:rsidP="007A567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В соответствии со ст. 19.29. Кодекса Российской Федерации об административных правонарушениях от 30 декабря 2001 г. № 195-ФЗ </w:t>
      </w:r>
      <w:hyperlink r:id="rId11" w:history="1">
        <w:r w:rsidRPr="00C01313">
          <w:rPr>
            <w:rStyle w:val="a5"/>
            <w:rFonts w:ascii="Liberation Serif" w:hAnsi="Liberation Serif" w:cs="Tahoma"/>
            <w:b/>
            <w:bCs/>
            <w:color w:val="003068"/>
            <w:sz w:val="32"/>
            <w:szCs w:val="32"/>
          </w:rPr>
          <w:t>привлечение</w:t>
        </w:r>
      </w:hyperlink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 работодателем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 </w:t>
      </w:r>
      <w:r w:rsidRPr="00C01313">
        <w:rPr>
          <w:rStyle w:val="a3"/>
          <w:rFonts w:ascii="Liberation Serif" w:hAnsi="Liberation Serif" w:cs="Tahoma"/>
          <w:color w:val="000000"/>
          <w:sz w:val="32"/>
          <w:szCs w:val="32"/>
        </w:rPr>
        <w:t>муниципального служащего, замещающего должность, включенную в </w:t>
      </w:r>
      <w:hyperlink r:id="rId12" w:history="1">
        <w:r w:rsidRPr="00C01313">
          <w:rPr>
            <w:rStyle w:val="a5"/>
            <w:rFonts w:ascii="Liberation Serif" w:hAnsi="Liberation Serif" w:cs="Tahoma"/>
            <w:b/>
            <w:bCs/>
            <w:color w:val="003068"/>
            <w:sz w:val="32"/>
            <w:szCs w:val="32"/>
          </w:rPr>
          <w:t>перечень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, установленный нормативными правовыми актами, либо бывшего муниципального служащего, замещавшего такую должность, с нарушением требований, предусмотренных Федеральным </w:t>
      </w:r>
      <w:hyperlink r:id="rId13" w:history="1">
        <w:r w:rsidRPr="00C01313">
          <w:rPr>
            <w:rStyle w:val="a5"/>
            <w:rFonts w:ascii="Liberation Serif" w:hAnsi="Liberation Serif" w:cs="Tahoma"/>
            <w:color w:val="003068"/>
            <w:sz w:val="32"/>
            <w:szCs w:val="32"/>
          </w:rPr>
          <w:t>законом</w:t>
        </w:r>
      </w:hyperlink>
      <w:r w:rsidRPr="00C01313">
        <w:rPr>
          <w:rFonts w:ascii="Liberation Serif" w:hAnsi="Liberation Serif" w:cs="Tahoma"/>
          <w:color w:val="000000"/>
          <w:sz w:val="32"/>
          <w:szCs w:val="32"/>
        </w:rPr>
        <w:t> № 273-ФЗ </w:t>
      </w:r>
      <w:r w:rsidRPr="00C01313">
        <w:rPr>
          <w:rStyle w:val="a3"/>
          <w:rFonts w:ascii="Liberation Serif" w:hAnsi="Liberation Serif" w:cs="Tahoma"/>
          <w:color w:val="FF0000"/>
          <w:sz w:val="32"/>
          <w:szCs w:val="32"/>
        </w:rPr>
        <w:t>влечет наложение административного штрафа</w:t>
      </w:r>
      <w:r w:rsidRPr="00C01313">
        <w:rPr>
          <w:rFonts w:ascii="Liberation Serif" w:hAnsi="Liberation Serif" w:cs="Tahoma"/>
          <w:color w:val="000000"/>
          <w:sz w:val="32"/>
          <w:szCs w:val="32"/>
        </w:rPr>
        <w:t> 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C01313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000000"/>
          <w:sz w:val="32"/>
          <w:szCs w:val="32"/>
        </w:rPr>
      </w:pPr>
    </w:p>
    <w:p w:rsidR="00E6360E" w:rsidRPr="00C01313" w:rsidRDefault="00C01313" w:rsidP="00C0131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Tahoma"/>
          <w:color w:val="000000"/>
          <w:sz w:val="32"/>
          <w:szCs w:val="32"/>
        </w:rPr>
      </w:pPr>
      <w:r w:rsidRPr="00C01313">
        <w:rPr>
          <w:rFonts w:ascii="Liberation Serif" w:hAnsi="Liberation Serif" w:cs="Tahoma"/>
          <w:color w:val="000000"/>
          <w:sz w:val="32"/>
          <w:szCs w:val="32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  <w:bookmarkStart w:id="0" w:name="_GoBack"/>
      <w:bookmarkEnd w:id="0"/>
    </w:p>
    <w:sectPr w:rsidR="00E6360E" w:rsidRPr="00C0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4F24"/>
    <w:multiLevelType w:val="multilevel"/>
    <w:tmpl w:val="A3E0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13"/>
    <w:rsid w:val="006537A8"/>
    <w:rsid w:val="007A5679"/>
    <w:rsid w:val="00974B4A"/>
    <w:rsid w:val="00C01313"/>
    <w:rsid w:val="00E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E74A"/>
  <w15:chartTrackingRefBased/>
  <w15:docId w15:val="{323D491E-0A62-4A53-AF39-68C13B8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1313"/>
    <w:rPr>
      <w:b/>
      <w:bCs/>
    </w:rPr>
  </w:style>
  <w:style w:type="character" w:styleId="a4">
    <w:name w:val="Emphasis"/>
    <w:basedOn w:val="a0"/>
    <w:uiPriority w:val="20"/>
    <w:qFormat/>
    <w:rsid w:val="00C01313"/>
    <w:rPr>
      <w:i/>
      <w:iCs/>
    </w:rPr>
  </w:style>
  <w:style w:type="character" w:styleId="a5">
    <w:name w:val="Hyperlink"/>
    <w:basedOn w:val="a0"/>
    <w:uiPriority w:val="99"/>
    <w:semiHidden/>
    <w:unhideWhenUsed/>
    <w:rsid w:val="00C0131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AA76FCE985695DB62828BFEACD885F863D81EW0t3J" TargetMode="External"/><Relationship Id="rId13" Type="http://schemas.openxmlformats.org/officeDocument/2006/relationships/hyperlink" Target="consultantplus://offline/ref=CDD62B79804EADAD70EBEC0F9E126BD52C4E327A9732EC2D745F9F4E25BE51CE982760143Cn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F6CD79D65F669EE72E56ABC35F573FCFAA76FCE985695DB62828BFEACD885F863D81EW0t3J" TargetMode="External"/><Relationship Id="rId12" Type="http://schemas.openxmlformats.org/officeDocument/2006/relationships/hyperlink" Target="consultantplus://offline/ref=CDD62B79804EADAD70EBEC0F9E126BD52C4C31749A36EC2D745F9F4E25BE51CE98276017C97AC35930n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F6CD79D65F669EE72E56ABC35F573FCFAA76FCE985695DB62828BFEACD885F863D81D0AB61979W7t8J" TargetMode="External"/><Relationship Id="rId11" Type="http://schemas.openxmlformats.org/officeDocument/2006/relationships/hyperlink" Target="consultantplus://offline/ref=CDD62B79804EADAD70EBEC0F9E126BD52C4F30709737EC2D745F9F4E25BE51CE98276017CE7B3Cn0K" TargetMode="External"/><Relationship Id="rId5" Type="http://schemas.openxmlformats.org/officeDocument/2006/relationships/hyperlink" Target="consultantplus://offline/ref=88EF6CD79D65F669EE72E56ABC35F573FCF9AD6EC59B5695DB62828BFEACD885F863D81D0AB61879W7t9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EF6CD79D65F669EE72E56ABC35F573FCF9AB6CC5985695DB62828BFEWAt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9AD6EC59B5695DB62828BFEACD885F863D81D0AB61879W7t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2020-04-03T05:53:00Z</dcterms:created>
  <dcterms:modified xsi:type="dcterms:W3CDTF">2020-04-03T06:29:00Z</dcterms:modified>
</cp:coreProperties>
</file>